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B927" w14:textId="77777777" w:rsidR="00CB0DA1" w:rsidRDefault="00CB0DA1"/>
    <w:p w14:paraId="054A6524" w14:textId="5CDC1DDF" w:rsidR="00CB0DA1" w:rsidRDefault="00CB0DA1" w:rsidP="00CB0DA1">
      <w:pPr>
        <w:jc w:val="center"/>
        <w:rPr>
          <w:b/>
          <w:bCs/>
          <w:sz w:val="28"/>
          <w:szCs w:val="28"/>
        </w:rPr>
      </w:pPr>
      <w:r w:rsidRPr="1CF2000A">
        <w:rPr>
          <w:b/>
          <w:bCs/>
          <w:sz w:val="28"/>
          <w:szCs w:val="28"/>
        </w:rPr>
        <w:t>Research Experience Placement (REP) Scheme 202</w:t>
      </w:r>
      <w:r w:rsidR="72EC4907" w:rsidRPr="1CF2000A">
        <w:rPr>
          <w:b/>
          <w:bCs/>
          <w:sz w:val="28"/>
          <w:szCs w:val="28"/>
        </w:rPr>
        <w:t>3</w:t>
      </w:r>
    </w:p>
    <w:p w14:paraId="6EC72A72" w14:textId="292B82EC" w:rsidR="00CB0DA1" w:rsidRPr="00CB0DA1" w:rsidRDefault="00CB0DA1" w:rsidP="00CB0DA1">
      <w:pPr>
        <w:jc w:val="center"/>
        <w:rPr>
          <w:b/>
          <w:bCs/>
          <w:sz w:val="28"/>
          <w:szCs w:val="28"/>
        </w:rPr>
      </w:pPr>
      <w:r w:rsidRPr="00CB0DA1">
        <w:rPr>
          <w:b/>
          <w:bCs/>
          <w:sz w:val="28"/>
          <w:szCs w:val="28"/>
        </w:rPr>
        <w:t>Supervisor Project Proforma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0"/>
        <w:gridCol w:w="4746"/>
      </w:tblGrid>
      <w:tr w:rsidR="00CB0DA1" w14:paraId="2D463498" w14:textId="77777777" w:rsidTr="1CF2000A">
        <w:tc>
          <w:tcPr>
            <w:tcW w:w="4508" w:type="dxa"/>
          </w:tcPr>
          <w:p w14:paraId="7079A7E3" w14:textId="409A85CD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Project title:</w:t>
            </w:r>
          </w:p>
        </w:tc>
        <w:tc>
          <w:tcPr>
            <w:tcW w:w="4508" w:type="dxa"/>
          </w:tcPr>
          <w:p w14:paraId="062AA69B" w14:textId="451C981D" w:rsidR="00CB0DA1" w:rsidRDefault="00C35417">
            <w:r>
              <w:t>Unlocking the herbarium treasure-chest using Darwin’s ‘beloved Drosera’.</w:t>
            </w:r>
          </w:p>
        </w:tc>
      </w:tr>
      <w:tr w:rsidR="00CB0DA1" w14:paraId="0D4E5B24" w14:textId="77777777" w:rsidTr="1CF2000A">
        <w:tc>
          <w:tcPr>
            <w:tcW w:w="4508" w:type="dxa"/>
          </w:tcPr>
          <w:p w14:paraId="795C6C1A" w14:textId="4F44612F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Host Institution:</w:t>
            </w:r>
          </w:p>
        </w:tc>
        <w:tc>
          <w:tcPr>
            <w:tcW w:w="4508" w:type="dxa"/>
          </w:tcPr>
          <w:p w14:paraId="69AC2D2F" w14:textId="4D30B77C" w:rsidR="00CB0DA1" w:rsidRDefault="00503281">
            <w:r>
              <w:t>Loughborough University</w:t>
            </w:r>
          </w:p>
        </w:tc>
      </w:tr>
      <w:tr w:rsidR="00CB0DA1" w14:paraId="3F337040" w14:textId="77777777" w:rsidTr="1CF2000A">
        <w:tc>
          <w:tcPr>
            <w:tcW w:w="4508" w:type="dxa"/>
          </w:tcPr>
          <w:p w14:paraId="120B193F" w14:textId="52C40B7B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Project supervisor (name, department):</w:t>
            </w:r>
          </w:p>
        </w:tc>
        <w:tc>
          <w:tcPr>
            <w:tcW w:w="4508" w:type="dxa"/>
          </w:tcPr>
          <w:p w14:paraId="4ED43CF5" w14:textId="2DA696EF" w:rsidR="00CB0DA1" w:rsidRDefault="00503281">
            <w:r>
              <w:t>Dr Jon Millett, Geography &amp; Environment</w:t>
            </w:r>
          </w:p>
        </w:tc>
      </w:tr>
      <w:tr w:rsidR="00CB0DA1" w14:paraId="2EF3F056" w14:textId="77777777" w:rsidTr="1CF2000A">
        <w:tc>
          <w:tcPr>
            <w:tcW w:w="4508" w:type="dxa"/>
          </w:tcPr>
          <w:p w14:paraId="33661AA5" w14:textId="78133D95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Project enquiries (supervisor email):</w:t>
            </w:r>
          </w:p>
        </w:tc>
        <w:tc>
          <w:tcPr>
            <w:tcW w:w="4508" w:type="dxa"/>
          </w:tcPr>
          <w:p w14:paraId="6F190C26" w14:textId="37FDD78E" w:rsidR="00CB0DA1" w:rsidRDefault="00C205E2">
            <w:r>
              <w:t>j.millett@lboro.ac.uk</w:t>
            </w:r>
          </w:p>
        </w:tc>
      </w:tr>
      <w:tr w:rsidR="00CB0DA1" w14:paraId="63C36B3C" w14:textId="77777777" w:rsidTr="1CF2000A">
        <w:tc>
          <w:tcPr>
            <w:tcW w:w="4508" w:type="dxa"/>
          </w:tcPr>
          <w:p w14:paraId="5F57E7AF" w14:textId="6A331C44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Co-Supervisor, if any (name, department):</w:t>
            </w:r>
          </w:p>
        </w:tc>
        <w:tc>
          <w:tcPr>
            <w:tcW w:w="4508" w:type="dxa"/>
          </w:tcPr>
          <w:p w14:paraId="4A60199D" w14:textId="3A10F293" w:rsidR="00CB0DA1" w:rsidRDefault="007434ED">
            <w:r>
              <w:t>Dr Paul Roach</w:t>
            </w:r>
          </w:p>
        </w:tc>
      </w:tr>
      <w:tr w:rsidR="00CB0DA1" w14:paraId="50610C2E" w14:textId="77777777" w:rsidTr="1CF2000A">
        <w:tc>
          <w:tcPr>
            <w:tcW w:w="4508" w:type="dxa"/>
          </w:tcPr>
          <w:p w14:paraId="5AF5B669" w14:textId="0B38208D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Proposed start date:</w:t>
            </w:r>
          </w:p>
        </w:tc>
        <w:tc>
          <w:tcPr>
            <w:tcW w:w="4508" w:type="dxa"/>
          </w:tcPr>
          <w:p w14:paraId="1F63BD47" w14:textId="5709AF85" w:rsidR="00CB0DA1" w:rsidRDefault="00A01AE4">
            <w:r>
              <w:t>19</w:t>
            </w:r>
            <w:r w:rsidRPr="00A01AE4">
              <w:rPr>
                <w:vertAlign w:val="superscript"/>
              </w:rPr>
              <w:t>th</w:t>
            </w:r>
            <w:r>
              <w:t xml:space="preserve"> June 2023 (flexible)</w:t>
            </w:r>
          </w:p>
        </w:tc>
      </w:tr>
      <w:tr w:rsidR="00CB0DA1" w14:paraId="08B7788C" w14:textId="77777777" w:rsidTr="1CF2000A">
        <w:tc>
          <w:tcPr>
            <w:tcW w:w="9016" w:type="dxa"/>
            <w:gridSpan w:val="2"/>
          </w:tcPr>
          <w:p w14:paraId="738EDC94" w14:textId="7278212D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Project description (max 700 words, 1-2 figures may be included):</w:t>
            </w:r>
          </w:p>
          <w:p w14:paraId="0BA1AB0B" w14:textId="77777777" w:rsidR="00E55F50" w:rsidRPr="008D16D8" w:rsidRDefault="00E55F50" w:rsidP="00E55F50">
            <w:r w:rsidRPr="008D16D8">
              <w:t xml:space="preserve">Proposed projects must: </w:t>
            </w:r>
          </w:p>
          <w:p w14:paraId="542B87FB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have a clearly defined objective. </w:t>
            </w:r>
          </w:p>
          <w:p w14:paraId="250C90DC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be within the science remit of NERC. </w:t>
            </w:r>
          </w:p>
          <w:p w14:paraId="6E1E183E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be feasible for a student to complete within the timescale of the award. </w:t>
            </w:r>
          </w:p>
          <w:p w14:paraId="1394F7F0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include more than purely a computer/modelling component i.e., some element of fieldwork, data collection, activity to give an understanding of the wider context etc.* </w:t>
            </w:r>
          </w:p>
          <w:p w14:paraId="54F87DF0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give scope for thought and initiative on the part of the student and should not use the student as a general assistant. </w:t>
            </w:r>
          </w:p>
          <w:p w14:paraId="75B054F0" w14:textId="702BA3E4" w:rsidR="00E55F50" w:rsidRPr="00E55F50" w:rsidRDefault="461FB187" w:rsidP="1CF2000A">
            <w:pPr>
              <w:pStyle w:val="ListParagraph"/>
              <w:widowControl/>
              <w:numPr>
                <w:ilvl w:val="0"/>
                <w:numId w:val="2"/>
              </w:numPr>
              <w:spacing w:before="0" w:after="160" w:line="259" w:lineRule="auto"/>
              <w:contextualSpacing/>
            </w:pPr>
            <w:r>
              <w:t xml:space="preserve">be based at an eligible UK research </w:t>
            </w:r>
            <w:proofErr w:type="spellStart"/>
            <w:r>
              <w:t>organisation</w:t>
            </w:r>
            <w:proofErr w:type="spellEnd"/>
            <w:r>
              <w:t xml:space="preserve"> (remote placements are also an option for enabling inclusivity).</w:t>
            </w:r>
          </w:p>
        </w:tc>
      </w:tr>
      <w:tr w:rsidR="00CB0DA1" w14:paraId="77C2AB3E" w14:textId="77777777" w:rsidTr="1CF2000A">
        <w:tc>
          <w:tcPr>
            <w:tcW w:w="9016" w:type="dxa"/>
            <w:gridSpan w:val="2"/>
          </w:tcPr>
          <w:p w14:paraId="3ADDDA3F" w14:textId="77777777" w:rsidR="00CB0DA1" w:rsidRDefault="00CB0DA1"/>
          <w:p w14:paraId="0D0D50E2" w14:textId="0652BDC2" w:rsidR="00D33595" w:rsidRDefault="00221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2AE8B16E">
              <w:rPr>
                <w:rFonts w:ascii="Arial" w:hAnsi="Arial" w:cs="Arial"/>
                <w:sz w:val="20"/>
                <w:szCs w:val="20"/>
              </w:rPr>
              <w:t>erbarium specimens</w:t>
            </w:r>
            <w:r w:rsidRPr="00E710CB">
              <w:rPr>
                <w:rFonts w:ascii="Arial" w:hAnsi="Arial" w:cs="Arial"/>
                <w:sz w:val="20"/>
                <w:szCs w:val="20"/>
              </w:rPr>
              <w:t>—</w:t>
            </w:r>
            <w:r w:rsidRPr="2AE8B16E">
              <w:rPr>
                <w:rFonts w:ascii="Arial" w:hAnsi="Arial" w:cs="Arial"/>
                <w:sz w:val="20"/>
                <w:szCs w:val="20"/>
              </w:rPr>
              <w:t xml:space="preserve">archived, dried plant specimens collected over the past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2AE8B16E">
              <w:rPr>
                <w:rFonts w:ascii="Arial" w:hAnsi="Arial" w:cs="Arial"/>
                <w:sz w:val="20"/>
                <w:szCs w:val="20"/>
              </w:rPr>
              <w:t>00 years</w:t>
            </w:r>
            <w:r w:rsidR="00B00F91">
              <w:rPr>
                <w:rFonts w:ascii="Arial" w:hAnsi="Arial" w:cs="Arial"/>
                <w:sz w:val="20"/>
                <w:szCs w:val="20"/>
              </w:rPr>
              <w:t xml:space="preserve">—contain a wealth of </w:t>
            </w:r>
            <w:r w:rsidR="00D33595">
              <w:rPr>
                <w:rFonts w:ascii="Arial" w:hAnsi="Arial" w:cs="Arial"/>
                <w:sz w:val="20"/>
                <w:szCs w:val="20"/>
              </w:rPr>
              <w:t>information on plant biology</w:t>
            </w:r>
            <w:r w:rsidRPr="2AE8B16E">
              <w:rPr>
                <w:rFonts w:ascii="Arial" w:hAnsi="Arial" w:cs="Arial"/>
                <w:sz w:val="20"/>
                <w:szCs w:val="20"/>
              </w:rPr>
              <w:t>.</w:t>
            </w:r>
            <w:r w:rsidR="00B65E1F">
              <w:rPr>
                <w:rFonts w:ascii="Arial" w:hAnsi="Arial" w:cs="Arial"/>
                <w:sz w:val="20"/>
                <w:szCs w:val="20"/>
              </w:rPr>
              <w:t xml:space="preserve"> This </w:t>
            </w:r>
            <w:r w:rsidR="00370237">
              <w:rPr>
                <w:rFonts w:ascii="Arial" w:hAnsi="Arial" w:cs="Arial"/>
                <w:sz w:val="20"/>
                <w:szCs w:val="20"/>
              </w:rPr>
              <w:t>treasure-chest of information pro</w:t>
            </w:r>
            <w:r w:rsidR="00A34FEC">
              <w:rPr>
                <w:rFonts w:ascii="Arial" w:hAnsi="Arial" w:cs="Arial"/>
                <w:sz w:val="20"/>
                <w:szCs w:val="20"/>
              </w:rPr>
              <w:t xml:space="preserve">vides </w:t>
            </w:r>
            <w:r w:rsidR="00FF45FC">
              <w:rPr>
                <w:rFonts w:ascii="Arial" w:hAnsi="Arial" w:cs="Arial"/>
                <w:sz w:val="20"/>
                <w:szCs w:val="20"/>
              </w:rPr>
              <w:t>huge potential for understanding</w:t>
            </w:r>
            <w:r w:rsidR="00370237">
              <w:rPr>
                <w:rFonts w:ascii="Arial" w:hAnsi="Arial" w:cs="Arial"/>
                <w:sz w:val="20"/>
                <w:szCs w:val="20"/>
              </w:rPr>
              <w:t xml:space="preserve"> plant responses to environmental change</w:t>
            </w:r>
            <w:r w:rsidR="0064198F">
              <w:rPr>
                <w:rFonts w:ascii="Arial" w:hAnsi="Arial" w:cs="Arial"/>
                <w:sz w:val="20"/>
                <w:szCs w:val="20"/>
              </w:rPr>
              <w:t>s</w:t>
            </w:r>
            <w:r w:rsidR="00732D09">
              <w:rPr>
                <w:rFonts w:ascii="Arial" w:hAnsi="Arial" w:cs="Arial"/>
                <w:sz w:val="20"/>
                <w:szCs w:val="20"/>
              </w:rPr>
              <w:t xml:space="preserve"> such as climate change and atmospheric nitrogen deposition.</w:t>
            </w:r>
            <w:r w:rsidR="00840EDC">
              <w:rPr>
                <w:rFonts w:ascii="Arial" w:hAnsi="Arial" w:cs="Arial"/>
                <w:sz w:val="20"/>
                <w:szCs w:val="20"/>
              </w:rPr>
              <w:t xml:space="preserve"> Measurements of plant morphology, phenology,</w:t>
            </w:r>
            <w:r w:rsidR="00BC07C0">
              <w:rPr>
                <w:rFonts w:ascii="Arial" w:hAnsi="Arial" w:cs="Arial"/>
                <w:sz w:val="20"/>
                <w:szCs w:val="20"/>
              </w:rPr>
              <w:t xml:space="preserve"> genetics, </w:t>
            </w:r>
            <w:r w:rsidR="00276667">
              <w:rPr>
                <w:rFonts w:ascii="Arial" w:hAnsi="Arial" w:cs="Arial"/>
                <w:sz w:val="20"/>
                <w:szCs w:val="20"/>
              </w:rPr>
              <w:t>tissue chemistry, and herbivory</w:t>
            </w:r>
            <w:r w:rsidR="00D61542">
              <w:rPr>
                <w:rFonts w:ascii="Arial" w:hAnsi="Arial" w:cs="Arial"/>
                <w:sz w:val="20"/>
                <w:szCs w:val="20"/>
              </w:rPr>
              <w:t>,</w:t>
            </w:r>
            <w:r w:rsidR="00276667">
              <w:rPr>
                <w:rFonts w:ascii="Arial" w:hAnsi="Arial" w:cs="Arial"/>
                <w:sz w:val="20"/>
                <w:szCs w:val="20"/>
              </w:rPr>
              <w:t xml:space="preserve"> for example</w:t>
            </w:r>
            <w:r w:rsidR="00D61542">
              <w:rPr>
                <w:rFonts w:ascii="Arial" w:hAnsi="Arial" w:cs="Arial"/>
                <w:sz w:val="20"/>
                <w:szCs w:val="20"/>
              </w:rPr>
              <w:t>,</w:t>
            </w:r>
            <w:r w:rsidR="002766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CDC">
              <w:rPr>
                <w:rFonts w:ascii="Arial" w:hAnsi="Arial" w:cs="Arial"/>
                <w:sz w:val="20"/>
                <w:szCs w:val="20"/>
              </w:rPr>
              <w:t>allow variability in</w:t>
            </w:r>
            <w:r w:rsidR="00C664F7">
              <w:rPr>
                <w:rFonts w:ascii="Arial" w:hAnsi="Arial" w:cs="Arial"/>
                <w:sz w:val="20"/>
                <w:szCs w:val="20"/>
              </w:rPr>
              <w:t xml:space="preserve"> plant biology </w:t>
            </w:r>
            <w:r w:rsidR="00C120E2">
              <w:rPr>
                <w:rFonts w:ascii="Arial" w:hAnsi="Arial" w:cs="Arial"/>
                <w:sz w:val="20"/>
                <w:szCs w:val="20"/>
              </w:rPr>
              <w:t>across</w:t>
            </w:r>
            <w:r w:rsidR="00761CDC">
              <w:rPr>
                <w:rFonts w:ascii="Arial" w:hAnsi="Arial" w:cs="Arial"/>
                <w:sz w:val="20"/>
                <w:szCs w:val="20"/>
              </w:rPr>
              <w:t xml:space="preserve"> space and time to be tracked and correlated with </w:t>
            </w:r>
            <w:r w:rsidR="00F1137E">
              <w:rPr>
                <w:rFonts w:ascii="Arial" w:hAnsi="Arial" w:cs="Arial"/>
                <w:sz w:val="20"/>
                <w:szCs w:val="20"/>
              </w:rPr>
              <w:t>variability in the environment.</w:t>
            </w:r>
            <w:r w:rsidR="00FF4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1EB">
              <w:rPr>
                <w:rFonts w:ascii="Arial" w:hAnsi="Arial" w:cs="Arial"/>
                <w:sz w:val="20"/>
                <w:szCs w:val="20"/>
              </w:rPr>
              <w:t>H</w:t>
            </w:r>
            <w:r w:rsidR="00FF45FC">
              <w:rPr>
                <w:rFonts w:ascii="Arial" w:hAnsi="Arial" w:cs="Arial"/>
                <w:sz w:val="20"/>
                <w:szCs w:val="20"/>
              </w:rPr>
              <w:t>erbarium specimens are under-used</w:t>
            </w:r>
            <w:r w:rsidR="002061EB">
              <w:rPr>
                <w:rFonts w:ascii="Arial" w:hAnsi="Arial" w:cs="Arial"/>
                <w:sz w:val="20"/>
                <w:szCs w:val="20"/>
              </w:rPr>
              <w:t>, but</w:t>
            </w:r>
            <w:r w:rsidR="00AD0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1EB">
              <w:rPr>
                <w:rFonts w:ascii="Arial" w:hAnsi="Arial" w:cs="Arial"/>
                <w:sz w:val="20"/>
                <w:szCs w:val="20"/>
              </w:rPr>
              <w:t>t</w:t>
            </w:r>
            <w:r w:rsidR="00AD0CE3">
              <w:rPr>
                <w:rFonts w:ascii="Arial" w:hAnsi="Arial" w:cs="Arial"/>
                <w:sz w:val="20"/>
                <w:szCs w:val="20"/>
              </w:rPr>
              <w:t xml:space="preserve">his situation is </w:t>
            </w:r>
            <w:proofErr w:type="gramStart"/>
            <w:r w:rsidR="00AD0CE3">
              <w:rPr>
                <w:rFonts w:ascii="Arial" w:hAnsi="Arial" w:cs="Arial"/>
                <w:sz w:val="20"/>
                <w:szCs w:val="20"/>
              </w:rPr>
              <w:t>changin</w:t>
            </w:r>
            <w:r w:rsidR="00732D09">
              <w:rPr>
                <w:rFonts w:ascii="Arial" w:hAnsi="Arial" w:cs="Arial"/>
                <w:sz w:val="20"/>
                <w:szCs w:val="20"/>
              </w:rPr>
              <w:t>g:</w:t>
            </w:r>
            <w:proofErr w:type="gramEnd"/>
            <w:r w:rsidR="00732D09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AD0CE3">
              <w:rPr>
                <w:rFonts w:ascii="Arial" w:hAnsi="Arial" w:cs="Arial"/>
                <w:sz w:val="20"/>
                <w:szCs w:val="20"/>
              </w:rPr>
              <w:t>igitisation of herbarium records</w:t>
            </w:r>
            <w:r w:rsidR="005A27F7">
              <w:rPr>
                <w:rFonts w:ascii="Arial" w:hAnsi="Arial" w:cs="Arial"/>
                <w:sz w:val="20"/>
                <w:szCs w:val="20"/>
              </w:rPr>
              <w:t xml:space="preserve"> is revolutionising the use of herbarium specimens, enabling a step-change in </w:t>
            </w:r>
            <w:r w:rsidR="0064198F">
              <w:rPr>
                <w:rFonts w:ascii="Arial" w:hAnsi="Arial" w:cs="Arial"/>
                <w:sz w:val="20"/>
                <w:szCs w:val="20"/>
              </w:rPr>
              <w:t>how we can understand biological responses to environmental change.</w:t>
            </w:r>
          </w:p>
          <w:p w14:paraId="3DF5A0CB" w14:textId="77777777" w:rsidR="00840EDC" w:rsidRDefault="00840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2E8FC" w14:textId="7009D3EE" w:rsidR="0026693B" w:rsidRDefault="00840E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significant barrier to</w:t>
            </w:r>
            <w:r w:rsidR="002061EB">
              <w:rPr>
                <w:rFonts w:ascii="Arial" w:hAnsi="Arial" w:cs="Arial"/>
                <w:sz w:val="20"/>
                <w:szCs w:val="20"/>
              </w:rPr>
              <w:t xml:space="preserve"> using herbarium specimens is that the </w:t>
            </w:r>
            <w:r w:rsidR="0023528A">
              <w:rPr>
                <w:rFonts w:ascii="Arial" w:hAnsi="Arial" w:cs="Arial"/>
                <w:sz w:val="20"/>
                <w:szCs w:val="20"/>
              </w:rPr>
              <w:t xml:space="preserve">ability to undertake destructive sampling is </w:t>
            </w:r>
            <w:r w:rsidR="00B260C8">
              <w:rPr>
                <w:rFonts w:ascii="Arial" w:hAnsi="Arial" w:cs="Arial"/>
                <w:sz w:val="20"/>
                <w:szCs w:val="20"/>
              </w:rPr>
              <w:t xml:space="preserve">limited because of the need to preserve specimens for future users. </w:t>
            </w:r>
            <w:r w:rsidR="007F7025">
              <w:rPr>
                <w:rFonts w:ascii="Arial" w:hAnsi="Arial" w:cs="Arial"/>
                <w:sz w:val="20"/>
                <w:szCs w:val="20"/>
              </w:rPr>
              <w:t>There is, therefore, a real need for maximising the amount of information that can be gained using non-destructive approaches.</w:t>
            </w:r>
            <w:r w:rsidR="00F007F5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D77938">
              <w:rPr>
                <w:rFonts w:ascii="Arial" w:hAnsi="Arial" w:cs="Arial"/>
                <w:sz w:val="20"/>
                <w:szCs w:val="20"/>
              </w:rPr>
              <w:t xml:space="preserve"> objective of this</w:t>
            </w:r>
            <w:r w:rsidR="00F007F5">
              <w:rPr>
                <w:rFonts w:ascii="Arial" w:hAnsi="Arial" w:cs="Arial"/>
                <w:sz w:val="20"/>
                <w:szCs w:val="20"/>
              </w:rPr>
              <w:t xml:space="preserve"> project </w:t>
            </w:r>
            <w:r w:rsidR="00D77938">
              <w:rPr>
                <w:rFonts w:ascii="Arial" w:hAnsi="Arial" w:cs="Arial"/>
                <w:sz w:val="20"/>
                <w:szCs w:val="20"/>
              </w:rPr>
              <w:t>is to</w:t>
            </w:r>
            <w:r w:rsidR="00F007F5">
              <w:rPr>
                <w:rFonts w:ascii="Arial" w:hAnsi="Arial" w:cs="Arial"/>
                <w:sz w:val="20"/>
                <w:szCs w:val="20"/>
              </w:rPr>
              <w:t xml:space="preserve"> investigate non-destructive measurement of herbarium specimens</w:t>
            </w:r>
            <w:r w:rsidR="0026693B">
              <w:rPr>
                <w:rFonts w:ascii="Arial" w:hAnsi="Arial" w:cs="Arial"/>
                <w:sz w:val="20"/>
                <w:szCs w:val="20"/>
              </w:rPr>
              <w:t xml:space="preserve">, using the carnivorous plant </w:t>
            </w:r>
            <w:r w:rsidR="0026693B">
              <w:rPr>
                <w:rFonts w:ascii="Arial" w:hAnsi="Arial" w:cs="Arial"/>
                <w:i/>
                <w:iCs/>
                <w:sz w:val="20"/>
                <w:szCs w:val="20"/>
              </w:rPr>
              <w:t>Drosera rotundifolia</w:t>
            </w:r>
            <w:r w:rsidR="002669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7D9788" w14:textId="1C1CFAC6" w:rsidR="0026693B" w:rsidRDefault="004A2093" w:rsidP="004A209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Drosera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rotundifolia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roundleaved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sundew) is a common carnivorous plant with a wide boreal distribution. This species grows in bog habitats, </w:t>
            </w:r>
            <w:r w:rsidR="003128A4">
              <w:rPr>
                <w:rFonts w:ascii="Arial" w:hAnsi="Arial" w:cs="Arial"/>
                <w:sz w:val="20"/>
                <w:szCs w:val="20"/>
              </w:rPr>
              <w:t xml:space="preserve">and supplements root nutrient uptake by </w:t>
            </w:r>
            <w:r w:rsidR="00C92827">
              <w:rPr>
                <w:rFonts w:ascii="Arial" w:hAnsi="Arial" w:cs="Arial"/>
                <w:sz w:val="20"/>
                <w:szCs w:val="20"/>
              </w:rPr>
              <w:t xml:space="preserve">catching prey on </w:t>
            </w:r>
            <w:r w:rsidR="00934CAD">
              <w:rPr>
                <w:rFonts w:ascii="Arial" w:hAnsi="Arial" w:cs="Arial"/>
                <w:sz w:val="20"/>
                <w:szCs w:val="20"/>
              </w:rPr>
              <w:t xml:space="preserve">sticky traps (modified leaves). This is a sentinel species because it is extremely sensitive to </w:t>
            </w:r>
            <w:r w:rsidR="007758CE">
              <w:rPr>
                <w:rFonts w:ascii="Arial" w:hAnsi="Arial" w:cs="Arial"/>
                <w:sz w:val="20"/>
                <w:szCs w:val="20"/>
              </w:rPr>
              <w:t>environmental variability.</w:t>
            </w:r>
            <w:r w:rsidR="004D6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4A6B">
              <w:rPr>
                <w:rFonts w:ascii="Arial" w:hAnsi="Arial" w:cs="Arial"/>
                <w:i/>
                <w:iCs/>
                <w:sz w:val="20"/>
                <w:szCs w:val="20"/>
              </w:rPr>
              <w:t>Drosera</w:t>
            </w:r>
            <w:r w:rsidR="00864A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4A6B" w:rsidRPr="00864A6B">
              <w:rPr>
                <w:rFonts w:ascii="Arial" w:hAnsi="Arial" w:cs="Arial"/>
                <w:i/>
                <w:iCs/>
                <w:sz w:val="20"/>
                <w:szCs w:val="20"/>
              </w:rPr>
              <w:t>rotundifolia</w:t>
            </w:r>
            <w:r w:rsidR="00864A6B">
              <w:rPr>
                <w:rFonts w:ascii="Arial" w:hAnsi="Arial" w:cs="Arial"/>
                <w:sz w:val="20"/>
                <w:szCs w:val="20"/>
              </w:rPr>
              <w:t xml:space="preserve"> varies at morphological, </w:t>
            </w:r>
            <w:proofErr w:type="gramStart"/>
            <w:r w:rsidR="00864A6B">
              <w:rPr>
                <w:rFonts w:ascii="Arial" w:hAnsi="Arial" w:cs="Arial"/>
                <w:sz w:val="20"/>
                <w:szCs w:val="20"/>
              </w:rPr>
              <w:t>chemical</w:t>
            </w:r>
            <w:proofErr w:type="gramEnd"/>
            <w:r w:rsidR="00864A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1657D">
              <w:rPr>
                <w:rFonts w:ascii="Arial" w:hAnsi="Arial" w:cs="Arial"/>
                <w:sz w:val="20"/>
                <w:szCs w:val="20"/>
              </w:rPr>
              <w:t>molecular</w:t>
            </w:r>
            <w:r w:rsidR="00864A6B">
              <w:rPr>
                <w:rFonts w:ascii="Arial" w:hAnsi="Arial" w:cs="Arial"/>
                <w:sz w:val="20"/>
                <w:szCs w:val="20"/>
              </w:rPr>
              <w:t xml:space="preserve"> scales in response to small changes in </w:t>
            </w:r>
            <w:r w:rsidR="0091657D">
              <w:rPr>
                <w:rFonts w:ascii="Arial" w:hAnsi="Arial" w:cs="Arial"/>
                <w:sz w:val="20"/>
                <w:szCs w:val="20"/>
              </w:rPr>
              <w:t xml:space="preserve">root nutrient availability or shade. </w:t>
            </w:r>
            <w:r w:rsidR="00E53C7D">
              <w:rPr>
                <w:rFonts w:ascii="Arial" w:hAnsi="Arial" w:cs="Arial"/>
                <w:sz w:val="20"/>
                <w:szCs w:val="20"/>
              </w:rPr>
              <w:t>Traps become less sticky in nutrient replete and shaded environments</w:t>
            </w:r>
            <w:r w:rsidR="00C609E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A7A1D">
              <w:rPr>
                <w:rFonts w:ascii="Arial" w:hAnsi="Arial" w:cs="Arial"/>
                <w:sz w:val="20"/>
                <w:szCs w:val="20"/>
              </w:rPr>
              <w:t>consequently,</w:t>
            </w:r>
            <w:r w:rsidR="00C609E7">
              <w:rPr>
                <w:rFonts w:ascii="Arial" w:hAnsi="Arial" w:cs="Arial"/>
                <w:sz w:val="20"/>
                <w:szCs w:val="20"/>
              </w:rPr>
              <w:t xml:space="preserve"> plants catch less prey. Measuring appropriate chemical and morphological characteristic can</w:t>
            </w:r>
            <w:r w:rsidR="001A7A1D">
              <w:rPr>
                <w:rFonts w:ascii="Arial" w:hAnsi="Arial" w:cs="Arial"/>
                <w:sz w:val="20"/>
                <w:szCs w:val="20"/>
              </w:rPr>
              <w:t>, therefore,</w:t>
            </w:r>
            <w:r w:rsidR="00C609E7">
              <w:rPr>
                <w:rFonts w:ascii="Arial" w:hAnsi="Arial" w:cs="Arial"/>
                <w:sz w:val="20"/>
                <w:szCs w:val="20"/>
              </w:rPr>
              <w:t xml:space="preserve"> give insight into the biological impact of environmental change on this species, and on bog habitats in general.</w:t>
            </w:r>
          </w:p>
          <w:p w14:paraId="0DF5C433" w14:textId="21482AD0" w:rsidR="00CB0DA1" w:rsidRDefault="00661E6C" w:rsidP="00D556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project will use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Drosera</w:t>
            </w:r>
            <w:r>
              <w:rPr>
                <w:rFonts w:ascii="Arial" w:hAnsi="Arial" w:cs="Arial"/>
                <w:sz w:val="20"/>
                <w:szCs w:val="20"/>
              </w:rPr>
              <w:t xml:space="preserve"> herbarium specimens collected by Dr Jonathan Millett. These have been collected for the purpose of comparing non-destructive measurements with destructive measurements. </w:t>
            </w:r>
            <w:r w:rsidR="00043415">
              <w:rPr>
                <w:rFonts w:ascii="Arial" w:hAnsi="Arial" w:cs="Arial"/>
                <w:sz w:val="20"/>
                <w:szCs w:val="20"/>
              </w:rPr>
              <w:t xml:space="preserve">There is flexibility in the choice of </w:t>
            </w:r>
            <w:proofErr w:type="gramStart"/>
            <w:r w:rsidR="00FA3D75">
              <w:rPr>
                <w:rFonts w:ascii="Arial" w:hAnsi="Arial" w:cs="Arial"/>
                <w:sz w:val="20"/>
                <w:szCs w:val="20"/>
              </w:rPr>
              <w:t>approaches</w:t>
            </w:r>
            <w:proofErr w:type="gramEnd"/>
            <w:r w:rsidR="00043415">
              <w:rPr>
                <w:rFonts w:ascii="Arial" w:hAnsi="Arial" w:cs="Arial"/>
                <w:sz w:val="20"/>
                <w:szCs w:val="20"/>
              </w:rPr>
              <w:t xml:space="preserve"> but the project might use Fourier Transformed </w:t>
            </w:r>
            <w:r w:rsidR="009B04D2">
              <w:rPr>
                <w:rFonts w:ascii="Arial" w:hAnsi="Arial" w:cs="Arial"/>
                <w:sz w:val="20"/>
                <w:szCs w:val="20"/>
              </w:rPr>
              <w:t>I</w:t>
            </w:r>
            <w:r w:rsidR="00043415">
              <w:rPr>
                <w:rFonts w:ascii="Arial" w:hAnsi="Arial" w:cs="Arial"/>
                <w:sz w:val="20"/>
                <w:szCs w:val="20"/>
              </w:rPr>
              <w:t>nfrared Spectroscopy</w:t>
            </w:r>
            <w:r w:rsidR="009B04D2">
              <w:rPr>
                <w:rFonts w:ascii="Arial" w:hAnsi="Arial" w:cs="Arial"/>
                <w:sz w:val="20"/>
                <w:szCs w:val="20"/>
              </w:rPr>
              <w:t xml:space="preserve"> (FTIR)</w:t>
            </w:r>
            <w:r w:rsidR="000434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B04D2">
              <w:rPr>
                <w:rFonts w:ascii="Arial" w:hAnsi="Arial" w:cs="Arial"/>
                <w:sz w:val="20"/>
                <w:szCs w:val="20"/>
              </w:rPr>
              <w:t xml:space="preserve">portable X-Ray </w:t>
            </w:r>
            <w:r w:rsidR="00FA3D75">
              <w:rPr>
                <w:rFonts w:ascii="Arial" w:hAnsi="Arial" w:cs="Arial"/>
                <w:sz w:val="20"/>
                <w:szCs w:val="20"/>
              </w:rPr>
              <w:t>fluorescence</w:t>
            </w:r>
            <w:r w:rsidR="009B04D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B04D2">
              <w:rPr>
                <w:rFonts w:ascii="Arial" w:hAnsi="Arial" w:cs="Arial"/>
                <w:sz w:val="20"/>
                <w:szCs w:val="20"/>
              </w:rPr>
              <w:t>pXRF</w:t>
            </w:r>
            <w:proofErr w:type="spellEnd"/>
            <w:r w:rsidR="009B04D2">
              <w:rPr>
                <w:rFonts w:ascii="Arial" w:hAnsi="Arial" w:cs="Arial"/>
                <w:sz w:val="20"/>
                <w:szCs w:val="20"/>
              </w:rPr>
              <w:t>)</w:t>
            </w:r>
            <w:r w:rsidR="007769C5">
              <w:rPr>
                <w:rFonts w:ascii="Arial" w:hAnsi="Arial" w:cs="Arial"/>
                <w:sz w:val="20"/>
                <w:szCs w:val="20"/>
              </w:rPr>
              <w:t xml:space="preserve">, electron </w:t>
            </w:r>
            <w:r w:rsidR="007769C5">
              <w:rPr>
                <w:rFonts w:ascii="Arial" w:hAnsi="Arial" w:cs="Arial"/>
                <w:sz w:val="20"/>
                <w:szCs w:val="20"/>
              </w:rPr>
              <w:lastRenderedPageBreak/>
              <w:t xml:space="preserve">microscopy or other </w:t>
            </w:r>
            <w:r w:rsidR="00D46BCA">
              <w:rPr>
                <w:rFonts w:ascii="Arial" w:hAnsi="Arial" w:cs="Arial"/>
                <w:sz w:val="20"/>
                <w:szCs w:val="20"/>
              </w:rPr>
              <w:t xml:space="preserve">approaches to obtain data on </w:t>
            </w:r>
            <w:r w:rsidR="00515207">
              <w:rPr>
                <w:rFonts w:ascii="Arial" w:hAnsi="Arial" w:cs="Arial"/>
                <w:sz w:val="20"/>
                <w:szCs w:val="20"/>
              </w:rPr>
              <w:t>specimen chemistry. They may then use standard destructive chemical approaches to measure the same data to verify the suitability of the approach.</w:t>
            </w:r>
            <w:r w:rsidR="001E3926">
              <w:rPr>
                <w:rFonts w:ascii="Arial" w:hAnsi="Arial" w:cs="Arial"/>
                <w:sz w:val="20"/>
                <w:szCs w:val="20"/>
              </w:rPr>
              <w:t xml:space="preserve"> In addition, collection of new herbarium specimens may be undertaken, to determine how </w:t>
            </w:r>
            <w:r w:rsidR="00D55680">
              <w:rPr>
                <w:rFonts w:ascii="Arial" w:hAnsi="Arial" w:cs="Arial"/>
                <w:sz w:val="20"/>
                <w:szCs w:val="20"/>
              </w:rPr>
              <w:t>these properties might degrade over time after collection.</w:t>
            </w:r>
          </w:p>
          <w:p w14:paraId="4654081B" w14:textId="26D798B0" w:rsidR="006340C4" w:rsidRDefault="00425993" w:rsidP="00D55680">
            <w:pPr>
              <w:spacing w:before="240"/>
            </w:pPr>
            <w:r>
              <w:rPr>
                <w:noProof/>
              </w:rPr>
              <w:drawing>
                <wp:inline distT="0" distB="0" distL="0" distR="0" wp14:anchorId="09616C55" wp14:editId="5A62135D">
                  <wp:extent cx="5715000" cy="3810000"/>
                  <wp:effectExtent l="0" t="0" r="0" b="0"/>
                  <wp:docPr id="1990077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A115D" w14:textId="77777777" w:rsidR="00F85940" w:rsidRDefault="00425993">
            <w:pPr>
              <w:rPr>
                <w:rFonts w:eastAsia="Times New Roman"/>
                <w:color w:val="000000"/>
              </w:rPr>
            </w:pPr>
            <w:r>
              <w:t xml:space="preserve">Figure 1. </w:t>
            </w:r>
            <w:r w:rsidR="00E326D6">
              <w:rPr>
                <w:i/>
                <w:iCs/>
              </w:rPr>
              <w:t>Drosera</w:t>
            </w:r>
            <w:r w:rsidR="00E326D6">
              <w:t xml:space="preserve"> </w:t>
            </w:r>
            <w:r w:rsidR="00E326D6">
              <w:rPr>
                <w:i/>
                <w:iCs/>
              </w:rPr>
              <w:t>rotundifolia</w:t>
            </w:r>
            <w:r w:rsidR="00E326D6">
              <w:t xml:space="preserve"> herbarium specimen</w:t>
            </w:r>
            <w:r w:rsidR="00B6583F">
              <w:t xml:space="preserve"> collected in 1921 in Southern Sweeden.</w:t>
            </w:r>
            <w:r w:rsidR="00E326D6">
              <w:t xml:space="preserve"> </w:t>
            </w:r>
            <w:r w:rsidR="00A704E9">
              <w:t xml:space="preserve">Photo credit: </w:t>
            </w:r>
            <w:proofErr w:type="spellStart"/>
            <w:r w:rsidR="00A704E9">
              <w:rPr>
                <w:rFonts w:eastAsia="Times New Roman"/>
                <w:color w:val="000000"/>
              </w:rPr>
              <w:t>Patrik</w:t>
            </w:r>
            <w:proofErr w:type="spellEnd"/>
            <w:r w:rsidR="00A704E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704E9">
              <w:rPr>
                <w:rFonts w:eastAsia="Times New Roman"/>
                <w:color w:val="000000"/>
              </w:rPr>
              <w:t>Frödén</w:t>
            </w:r>
            <w:proofErr w:type="spellEnd"/>
            <w:r w:rsidR="00A704E9">
              <w:rPr>
                <w:rFonts w:eastAsia="Times New Roman"/>
                <w:color w:val="000000"/>
              </w:rPr>
              <w:t xml:space="preserve">, </w:t>
            </w:r>
            <w:r w:rsidR="000E3E70">
              <w:rPr>
                <w:rFonts w:eastAsia="Times New Roman"/>
                <w:color w:val="000000"/>
              </w:rPr>
              <w:t>Lund University.</w:t>
            </w:r>
          </w:p>
          <w:p w14:paraId="31E11AAD" w14:textId="77777777" w:rsidR="002B29F9" w:rsidRDefault="002B29F9">
            <w:pPr>
              <w:rPr>
                <w:rFonts w:eastAsia="Times New Roman"/>
                <w:color w:val="000000"/>
              </w:rPr>
            </w:pPr>
          </w:p>
          <w:p w14:paraId="78D891E2" w14:textId="77777777" w:rsidR="002B29F9" w:rsidRDefault="002B29F9">
            <w:pPr>
              <w:rPr>
                <w:rFonts w:eastAsia="Times New Roman"/>
                <w:color w:val="000000"/>
              </w:rPr>
            </w:pPr>
          </w:p>
          <w:p w14:paraId="3421B028" w14:textId="378A3D30" w:rsidR="001B61F5" w:rsidRDefault="001B61F5">
            <w:pPr>
              <w:rPr>
                <w:rFonts w:eastAsia="Times New Roman"/>
                <w:color w:val="000000"/>
              </w:rPr>
            </w:pPr>
          </w:p>
          <w:p w14:paraId="058643BA" w14:textId="7430B166" w:rsidR="00CB0DA1" w:rsidRPr="002B29F9" w:rsidRDefault="00F85940">
            <w:r>
              <w:t xml:space="preserve">Figure 2. Living </w:t>
            </w:r>
            <w:r w:rsidRPr="002B29F9">
              <w:rPr>
                <w:i/>
                <w:iCs/>
              </w:rPr>
              <w:t>Drosera rotundifolia</w:t>
            </w:r>
            <w:r w:rsidR="002B29F9">
              <w:t xml:space="preserve"> growing in Southern Sweden. Photo credit: Jon Millett.</w:t>
            </w:r>
          </w:p>
          <w:p w14:paraId="7054AD7A" w14:textId="3CFADC4C" w:rsidR="00425993" w:rsidRDefault="001B61F5"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3C35A447" wp14:editId="4DBA0A70">
                  <wp:simplePos x="0" y="0"/>
                  <wp:positionH relativeFrom="column">
                    <wp:posOffset>-591185</wp:posOffset>
                  </wp:positionH>
                  <wp:positionV relativeFrom="paragraph">
                    <wp:posOffset>431165</wp:posOffset>
                  </wp:positionV>
                  <wp:extent cx="3382645" cy="2209800"/>
                  <wp:effectExtent l="0" t="4127" r="4127" b="4128"/>
                  <wp:wrapSquare wrapText="bothSides"/>
                  <wp:docPr id="7564001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35" r="9033"/>
                          <a:stretch/>
                        </pic:blipFill>
                        <pic:spPr bwMode="auto">
                          <a:xfrm rot="5400000">
                            <a:off x="0" y="0"/>
                            <a:ext cx="338264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679B6E" w14:textId="20822CBC" w:rsidR="00425993" w:rsidRDefault="00425993"/>
        </w:tc>
      </w:tr>
      <w:tr w:rsidR="00CB0DA1" w14:paraId="087F44D7" w14:textId="77777777" w:rsidTr="1CF2000A">
        <w:tc>
          <w:tcPr>
            <w:tcW w:w="9016" w:type="dxa"/>
            <w:gridSpan w:val="2"/>
          </w:tcPr>
          <w:p w14:paraId="30B0C4EB" w14:textId="53939D0B" w:rsidR="00CB0DA1" w:rsidRDefault="00CB0DA1">
            <w:r>
              <w:lastRenderedPageBreak/>
              <w:t>Project timeline:</w:t>
            </w:r>
          </w:p>
        </w:tc>
      </w:tr>
      <w:tr w:rsidR="00CB0DA1" w14:paraId="0458A5E7" w14:textId="77777777" w:rsidTr="00C4342A">
        <w:trPr>
          <w:trHeight w:val="2535"/>
        </w:trPr>
        <w:tc>
          <w:tcPr>
            <w:tcW w:w="9016" w:type="dxa"/>
            <w:gridSpan w:val="2"/>
          </w:tcPr>
          <w:p w14:paraId="12994D6E" w14:textId="77777777" w:rsidR="00CB0DA1" w:rsidRDefault="00CB0DA1"/>
          <w:p w14:paraId="05441E3A" w14:textId="41BF7DE1" w:rsidR="00CB0DA1" w:rsidRPr="002A658C" w:rsidRDefault="00D77938">
            <w:r>
              <w:t>Week 1:</w:t>
            </w:r>
            <w:r w:rsidR="00D406CE">
              <w:t xml:space="preserve"> </w:t>
            </w:r>
            <w:r w:rsidR="002A658C">
              <w:t xml:space="preserve">Collect </w:t>
            </w:r>
            <w:r w:rsidR="002A658C">
              <w:rPr>
                <w:i/>
                <w:iCs/>
              </w:rPr>
              <w:t>Drosera rotundifolia</w:t>
            </w:r>
            <w:r w:rsidR="002A658C">
              <w:t xml:space="preserve"> specimens from the wild. Prepare new herbarium specimens.</w:t>
            </w:r>
          </w:p>
          <w:p w14:paraId="28E35443" w14:textId="688DF800" w:rsidR="00D77938" w:rsidRDefault="00D77938">
            <w:r>
              <w:t>Week 2:</w:t>
            </w:r>
            <w:r w:rsidR="002A658C">
              <w:t xml:space="preserve"> </w:t>
            </w:r>
            <w:r w:rsidR="009C3A5B">
              <w:t>Undertake non-destructive measurements of herbarium specimens.</w:t>
            </w:r>
          </w:p>
          <w:p w14:paraId="2C4381AD" w14:textId="738E922E" w:rsidR="00D77938" w:rsidRDefault="00D77938">
            <w:r>
              <w:t>Week 3:</w:t>
            </w:r>
            <w:r w:rsidR="009C3A5B">
              <w:t xml:space="preserve"> Undertake non-destructive measurements of herbarium specimens.</w:t>
            </w:r>
          </w:p>
          <w:p w14:paraId="254F985C" w14:textId="029C2EFA" w:rsidR="00D77938" w:rsidRDefault="00D77938">
            <w:r>
              <w:t>Week 4:</w:t>
            </w:r>
            <w:r w:rsidR="009C3A5B">
              <w:t xml:space="preserve"> Undertake destructive chemical analysis of herbarium specimens.</w:t>
            </w:r>
          </w:p>
          <w:p w14:paraId="105FAD61" w14:textId="0353E2B6" w:rsidR="00D77938" w:rsidRDefault="00D77938">
            <w:r>
              <w:t>Week 5:</w:t>
            </w:r>
            <w:r w:rsidR="009C3A5B">
              <w:t xml:space="preserve"> Undertake destructive chemical analysis of herbarium specimens.</w:t>
            </w:r>
          </w:p>
          <w:p w14:paraId="06FB9ABE" w14:textId="726D09E6" w:rsidR="00D77938" w:rsidRDefault="00D77938">
            <w:r>
              <w:t>Week 6:</w:t>
            </w:r>
            <w:r w:rsidR="009C3A5B">
              <w:t xml:space="preserve"> Data analysis and write up</w:t>
            </w:r>
            <w:r w:rsidR="00C4342A">
              <w:t>.</w:t>
            </w:r>
          </w:p>
          <w:p w14:paraId="07473F41" w14:textId="37E4773A" w:rsidR="00D77938" w:rsidRDefault="00D77938"/>
          <w:p w14:paraId="6ACB8C46" w14:textId="77777777" w:rsidR="00CB0DA1" w:rsidRDefault="00CB0DA1"/>
          <w:p w14:paraId="01A801C7" w14:textId="77777777" w:rsidR="00CB0DA1" w:rsidRDefault="00CB0DA1"/>
          <w:p w14:paraId="5D961606" w14:textId="77777777" w:rsidR="00CB0DA1" w:rsidRDefault="00CB0DA1"/>
          <w:p w14:paraId="2E24360F" w14:textId="77777777" w:rsidR="00CB0DA1" w:rsidRDefault="00CB0DA1"/>
          <w:p w14:paraId="6A6BC806" w14:textId="77777777" w:rsidR="00CB0DA1" w:rsidRDefault="00CB0DA1"/>
          <w:p w14:paraId="547246DD" w14:textId="77777777" w:rsidR="00CB0DA1" w:rsidRDefault="00CB0DA1"/>
          <w:p w14:paraId="35F848E6" w14:textId="77777777" w:rsidR="00CB0DA1" w:rsidRDefault="00CB0DA1"/>
          <w:p w14:paraId="7FABFEBD" w14:textId="3F157A0E" w:rsidR="00CB0DA1" w:rsidRDefault="00CB0DA1"/>
        </w:tc>
      </w:tr>
      <w:tr w:rsidR="00CB0DA1" w14:paraId="481D8343" w14:textId="77777777" w:rsidTr="1CF2000A">
        <w:tc>
          <w:tcPr>
            <w:tcW w:w="9016" w:type="dxa"/>
            <w:gridSpan w:val="2"/>
          </w:tcPr>
          <w:p w14:paraId="5E218CA5" w14:textId="031DBFE5" w:rsidR="00CB0DA1" w:rsidRDefault="00CB0DA1">
            <w:r>
              <w:t>Candidate requirements:</w:t>
            </w:r>
          </w:p>
        </w:tc>
      </w:tr>
      <w:tr w:rsidR="00CB0DA1" w14:paraId="2A13AA75" w14:textId="77777777" w:rsidTr="1CF2000A">
        <w:tc>
          <w:tcPr>
            <w:tcW w:w="9016" w:type="dxa"/>
            <w:gridSpan w:val="2"/>
          </w:tcPr>
          <w:p w14:paraId="61810227" w14:textId="77777777" w:rsidR="00CB0DA1" w:rsidRDefault="00CB0DA1"/>
          <w:p w14:paraId="1170874B" w14:textId="40861779" w:rsidR="00CB0DA1" w:rsidRDefault="00FA3D75" w:rsidP="00C4342A">
            <w:pPr>
              <w:pStyle w:val="ListParagraph"/>
              <w:numPr>
                <w:ilvl w:val="0"/>
                <w:numId w:val="3"/>
              </w:numPr>
            </w:pPr>
            <w:r>
              <w:t>U</w:t>
            </w:r>
            <w:r w:rsidR="00422FDC">
              <w:t xml:space="preserve">ndertaking </w:t>
            </w:r>
            <w:r w:rsidR="00F64AFD">
              <w:t>an undergraduate degree in Biology or related discipline.</w:t>
            </w:r>
          </w:p>
          <w:p w14:paraId="50700B40" w14:textId="55C1C5B8" w:rsidR="00A56C69" w:rsidRDefault="00A56C69" w:rsidP="00C4342A">
            <w:pPr>
              <w:pStyle w:val="ListParagraph"/>
              <w:numPr>
                <w:ilvl w:val="0"/>
                <w:numId w:val="3"/>
              </w:numPr>
            </w:pPr>
            <w:r>
              <w:t>Evidence of excellence in academic work to-date</w:t>
            </w:r>
          </w:p>
          <w:p w14:paraId="188392E7" w14:textId="0F3AE277" w:rsidR="00F64AFD" w:rsidRDefault="00167F54" w:rsidP="00C4342A">
            <w:pPr>
              <w:pStyle w:val="ListParagraph"/>
              <w:numPr>
                <w:ilvl w:val="0"/>
                <w:numId w:val="3"/>
              </w:numPr>
            </w:pPr>
            <w:r>
              <w:t>Experience of plant science lab work.</w:t>
            </w:r>
          </w:p>
          <w:p w14:paraId="3FCFAEFB" w14:textId="212E0251" w:rsidR="00CB0DA1" w:rsidRDefault="00FA3D75" w:rsidP="00A56C69">
            <w:pPr>
              <w:pStyle w:val="ListParagraph"/>
              <w:numPr>
                <w:ilvl w:val="0"/>
                <w:numId w:val="3"/>
              </w:numPr>
            </w:pPr>
            <w:r>
              <w:t>Willingness</w:t>
            </w:r>
            <w:r w:rsidR="00167F54">
              <w:t xml:space="preserve"> and availability to undertake fieldwork</w:t>
            </w:r>
          </w:p>
          <w:p w14:paraId="3F2C85BE" w14:textId="5049F1D7" w:rsidR="00CB0DA1" w:rsidRDefault="00CB0DA1"/>
        </w:tc>
      </w:tr>
      <w:tr w:rsidR="00CB0DA1" w14:paraId="3318CC12" w14:textId="77777777" w:rsidTr="1CF2000A">
        <w:tc>
          <w:tcPr>
            <w:tcW w:w="9016" w:type="dxa"/>
            <w:gridSpan w:val="2"/>
          </w:tcPr>
          <w:p w14:paraId="12B7DFFE" w14:textId="3F479969" w:rsidR="00CB0DA1" w:rsidRDefault="00CB0DA1">
            <w:r>
              <w:t>Background reading and references:</w:t>
            </w:r>
          </w:p>
        </w:tc>
      </w:tr>
      <w:tr w:rsidR="00CB0DA1" w14:paraId="6466E1C2" w14:textId="77777777" w:rsidTr="1CF2000A">
        <w:tc>
          <w:tcPr>
            <w:tcW w:w="9016" w:type="dxa"/>
            <w:gridSpan w:val="2"/>
          </w:tcPr>
          <w:p w14:paraId="44CB5D1D" w14:textId="77777777" w:rsidR="00CB0DA1" w:rsidRDefault="00CB0DA1"/>
          <w:p w14:paraId="081883AE" w14:textId="0883C06F" w:rsidR="00CB0DA1" w:rsidRPr="006340C4" w:rsidRDefault="006F706B" w:rsidP="006340C4">
            <w:pPr>
              <w:pStyle w:val="ListParagraph"/>
              <w:numPr>
                <w:ilvl w:val="0"/>
                <w:numId w:val="4"/>
              </w:num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 xml:space="preserve">Barnes, M., </w:t>
            </w:r>
            <w:proofErr w:type="spellStart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Sulé-Suso</w:t>
            </w:r>
            <w:proofErr w:type="spellEnd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 xml:space="preserve">, J., Millett, J. and Roach, P., 2023. Fourier </w:t>
            </w:r>
            <w:proofErr w:type="gramStart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transform</w:t>
            </w:r>
            <w:proofErr w:type="gramEnd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 xml:space="preserve"> infrared spectroscopy as a non-destructive method for analysing herbarium specimens. </w:t>
            </w:r>
            <w:r w:rsidRPr="006340C4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Biology Letters</w:t>
            </w: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6340C4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19</w:t>
            </w: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(3), p.20220546.</w:t>
            </w:r>
          </w:p>
          <w:p w14:paraId="4730D44D" w14:textId="10032784" w:rsidR="006F706B" w:rsidRPr="006340C4" w:rsidRDefault="00233240" w:rsidP="006340C4">
            <w:pPr>
              <w:pStyle w:val="ListParagraph"/>
              <w:numPr>
                <w:ilvl w:val="0"/>
                <w:numId w:val="4"/>
              </w:num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Millett, J., Svensson, B.M., Newton, J. and Rydin, H., 2012. Reliance on prey</w:t>
            </w:r>
            <w:r w:rsidRPr="006340C4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derived nitrogen by the carnivorous plant Drosera rotundifolia decreases with increasing nitrogen deposition. </w:t>
            </w:r>
            <w:r w:rsidRPr="006340C4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New Phytologist</w:t>
            </w: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6340C4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195</w:t>
            </w: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(1), pp.182-188.</w:t>
            </w:r>
          </w:p>
          <w:p w14:paraId="2B68DB6A" w14:textId="66962BEF" w:rsidR="00233240" w:rsidRDefault="006340C4" w:rsidP="006340C4">
            <w:pPr>
              <w:pStyle w:val="ListParagraph"/>
              <w:numPr>
                <w:ilvl w:val="0"/>
                <w:numId w:val="4"/>
              </w:numPr>
            </w:pP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 xml:space="preserve">Lang, P.L., Willems, F.M., </w:t>
            </w:r>
            <w:proofErr w:type="spellStart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Scheepens</w:t>
            </w:r>
            <w:proofErr w:type="spellEnd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 xml:space="preserve">, J.F., </w:t>
            </w:r>
            <w:proofErr w:type="spellStart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Burbano</w:t>
            </w:r>
            <w:proofErr w:type="spellEnd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 xml:space="preserve">, H.A. and </w:t>
            </w:r>
            <w:proofErr w:type="spellStart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Bossdorf</w:t>
            </w:r>
            <w:proofErr w:type="spellEnd"/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, O., 2019. Using herbaria to study global environmental change. </w:t>
            </w:r>
            <w:r w:rsidRPr="006340C4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New Phytologist</w:t>
            </w: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6340C4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221</w:t>
            </w:r>
            <w:r w:rsidRPr="006340C4">
              <w:rPr>
                <w:color w:val="222222"/>
                <w:sz w:val="20"/>
                <w:szCs w:val="20"/>
                <w:shd w:val="clear" w:color="auto" w:fill="FFFFFF"/>
              </w:rPr>
              <w:t>(1), pp.110-122.</w:t>
            </w:r>
          </w:p>
          <w:p w14:paraId="6B23D445" w14:textId="77777777" w:rsidR="00CB0DA1" w:rsidRDefault="00CB0DA1"/>
          <w:p w14:paraId="268BEA20" w14:textId="77777777" w:rsidR="00CB0DA1" w:rsidRDefault="00CB0DA1"/>
          <w:p w14:paraId="3C7B61E2" w14:textId="589350B4" w:rsidR="00CB0DA1" w:rsidRDefault="00CB0DA1"/>
        </w:tc>
      </w:tr>
    </w:tbl>
    <w:p w14:paraId="31BF9324" w14:textId="51C39442" w:rsidR="00CB0DA1" w:rsidRDefault="00CB0DA1" w:rsidP="0068404B">
      <w:pPr>
        <w:ind w:left="220"/>
        <w:rPr>
          <w:rFonts w:ascii="Cambria" w:hAnsi="Cambria" w:cs="Times New Roman"/>
        </w:rPr>
      </w:pPr>
    </w:p>
    <w:p w14:paraId="7B055BD0" w14:textId="4A0379EC" w:rsidR="0059112C" w:rsidRPr="0059112C" w:rsidRDefault="0059112C" w:rsidP="0068404B">
      <w:pPr>
        <w:ind w:left="220"/>
        <w:rPr>
          <w:rFonts w:cstheme="minorHAnsi"/>
          <w:b/>
          <w:bCs/>
          <w:sz w:val="28"/>
          <w:szCs w:val="28"/>
        </w:rPr>
      </w:pPr>
      <w:r w:rsidRPr="0059112C">
        <w:rPr>
          <w:rFonts w:cstheme="minorHAnsi"/>
          <w:b/>
          <w:bCs/>
          <w:sz w:val="28"/>
          <w:szCs w:val="28"/>
        </w:rPr>
        <w:t>To be completed by institutional CENTA PoC</w:t>
      </w:r>
    </w:p>
    <w:p w14:paraId="340DEBE6" w14:textId="17A028B6" w:rsidR="0068404B" w:rsidRPr="00CB0DA1" w:rsidRDefault="0068404B" w:rsidP="0068404B">
      <w:pPr>
        <w:ind w:left="220"/>
        <w:rPr>
          <w:rFonts w:cstheme="minorHAnsi"/>
        </w:rPr>
      </w:pPr>
      <w:r w:rsidRPr="00CB0DA1">
        <w:rPr>
          <w:rFonts w:cstheme="minorHAnsi"/>
        </w:rPr>
        <w:t>I confirm that:</w:t>
      </w:r>
    </w:p>
    <w:p w14:paraId="151FAD2D" w14:textId="77777777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Appropriate supervisory arrangements are in </w:t>
      </w:r>
      <w:proofErr w:type="gramStart"/>
      <w:r w:rsidRPr="00CB0DA1">
        <w:rPr>
          <w:rFonts w:asciiTheme="minorHAnsi" w:hAnsiTheme="minorHAnsi" w:cstheme="minorHAnsi"/>
        </w:rPr>
        <w:t>place</w:t>
      </w:r>
      <w:proofErr w:type="gramEnd"/>
      <w:r w:rsidRPr="00CB0DA1">
        <w:rPr>
          <w:rFonts w:asciiTheme="minorHAnsi" w:hAnsiTheme="minorHAnsi" w:cstheme="minorHAnsi"/>
        </w:rPr>
        <w:t xml:space="preserve"> </w:t>
      </w:r>
    </w:p>
    <w:p w14:paraId="7B4349EC" w14:textId="1C8C494C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Any necessary ethical committee approvals, animal </w:t>
      </w:r>
      <w:proofErr w:type="spellStart"/>
      <w:r w:rsidRPr="00CB0DA1">
        <w:rPr>
          <w:rFonts w:asciiTheme="minorHAnsi" w:hAnsiTheme="minorHAnsi" w:cstheme="minorHAnsi"/>
        </w:rPr>
        <w:t>licences</w:t>
      </w:r>
      <w:proofErr w:type="spellEnd"/>
      <w:r w:rsidRPr="00CB0DA1">
        <w:rPr>
          <w:rFonts w:asciiTheme="minorHAnsi" w:hAnsiTheme="minorHAnsi" w:cstheme="minorHAnsi"/>
        </w:rPr>
        <w:t xml:space="preserve"> &amp; requirements of regulatory authorities will be in place before the work begins and will be maintained for the duration of the project </w:t>
      </w:r>
    </w:p>
    <w:p w14:paraId="5F77D3E0" w14:textId="77777777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We will take responsibility for identification, protection &amp; exploitation of any intellectual property rights arising from the </w:t>
      </w:r>
      <w:proofErr w:type="gramStart"/>
      <w:r w:rsidRPr="00CB0DA1">
        <w:rPr>
          <w:rFonts w:asciiTheme="minorHAnsi" w:hAnsiTheme="minorHAnsi" w:cstheme="minorHAnsi"/>
        </w:rPr>
        <w:t>project</w:t>
      </w:r>
      <w:proofErr w:type="gramEnd"/>
      <w:r w:rsidRPr="00CB0DA1">
        <w:rPr>
          <w:rFonts w:asciiTheme="minorHAnsi" w:hAnsiTheme="minorHAnsi" w:cstheme="minorHAnsi"/>
        </w:rPr>
        <w:t xml:space="preserve"> </w:t>
      </w:r>
    </w:p>
    <w:p w14:paraId="13081D02" w14:textId="77777777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All facilities, agreements regarding access and collaborations necessary for the work will be obtained before the work commences and can be ensured for the duration of the </w:t>
      </w:r>
      <w:proofErr w:type="gramStart"/>
      <w:r w:rsidRPr="00CB0DA1">
        <w:rPr>
          <w:rFonts w:asciiTheme="minorHAnsi" w:hAnsiTheme="minorHAnsi" w:cstheme="minorHAnsi"/>
        </w:rPr>
        <w:t>project</w:t>
      </w:r>
      <w:proofErr w:type="gramEnd"/>
      <w:r w:rsidRPr="00CB0DA1">
        <w:rPr>
          <w:rFonts w:asciiTheme="minorHAnsi" w:hAnsiTheme="minorHAnsi" w:cstheme="minorHAnsi"/>
        </w:rPr>
        <w:t xml:space="preserve"> </w:t>
      </w:r>
    </w:p>
    <w:p w14:paraId="394D8708" w14:textId="15C1ACA1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All costs awarded by NERC for the REP will be used and accounted for appropriately </w:t>
      </w:r>
    </w:p>
    <w:p w14:paraId="6E42054F" w14:textId="52931780" w:rsidR="0068404B" w:rsidRPr="00CB0DA1" w:rsidRDefault="0068404B" w:rsidP="1CF2000A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1CF2000A">
        <w:rPr>
          <w:rFonts w:asciiTheme="minorHAnsi" w:hAnsiTheme="minorHAnsi" w:cstheme="minorBidi"/>
        </w:rPr>
        <w:lastRenderedPageBreak/>
        <w:t xml:space="preserve">A report of the project by the student will be submitted </w:t>
      </w:r>
      <w:bookmarkStart w:id="0" w:name="_Hlk100583974"/>
      <w:r w:rsidRPr="1CF2000A">
        <w:rPr>
          <w:rFonts w:asciiTheme="minorHAnsi" w:hAnsiTheme="minorHAnsi" w:cstheme="minorBidi"/>
        </w:rPr>
        <w:t>no later than</w:t>
      </w:r>
      <w:r w:rsidR="00CB0DA1" w:rsidRPr="1CF2000A">
        <w:rPr>
          <w:rFonts w:asciiTheme="minorHAnsi" w:hAnsiTheme="minorHAnsi" w:cstheme="minorBidi"/>
        </w:rPr>
        <w:t xml:space="preserve"> one week after the end date of the placement or</w:t>
      </w:r>
      <w:r w:rsidRPr="1CF2000A">
        <w:rPr>
          <w:rFonts w:asciiTheme="minorHAnsi" w:hAnsiTheme="minorHAnsi" w:cstheme="minorBidi"/>
        </w:rPr>
        <w:t xml:space="preserve"> </w:t>
      </w:r>
      <w:r w:rsidR="00CB0DA1" w:rsidRPr="1CF2000A">
        <w:rPr>
          <w:rFonts w:asciiTheme="minorHAnsi" w:hAnsiTheme="minorHAnsi" w:cstheme="minorBidi"/>
        </w:rPr>
        <w:t>1</w:t>
      </w:r>
      <w:r w:rsidR="58CF4291" w:rsidRPr="1CF2000A">
        <w:rPr>
          <w:rFonts w:asciiTheme="minorHAnsi" w:hAnsiTheme="minorHAnsi" w:cstheme="minorBidi"/>
        </w:rPr>
        <w:t>5</w:t>
      </w:r>
      <w:r w:rsidR="00CB0DA1" w:rsidRPr="1CF2000A">
        <w:rPr>
          <w:rFonts w:asciiTheme="minorHAnsi" w:hAnsiTheme="minorHAnsi" w:cstheme="minorBidi"/>
          <w:vertAlign w:val="superscript"/>
        </w:rPr>
        <w:t>th</w:t>
      </w:r>
      <w:r w:rsidR="00CB0DA1" w:rsidRPr="1CF2000A">
        <w:rPr>
          <w:rFonts w:asciiTheme="minorHAnsi" w:hAnsiTheme="minorHAnsi" w:cstheme="minorBidi"/>
        </w:rPr>
        <w:t xml:space="preserve"> September 202</w:t>
      </w:r>
      <w:r w:rsidR="5D54BBBF" w:rsidRPr="1CF2000A">
        <w:rPr>
          <w:rFonts w:asciiTheme="minorHAnsi" w:hAnsiTheme="minorHAnsi" w:cstheme="minorBidi"/>
        </w:rPr>
        <w:t>3</w:t>
      </w:r>
      <w:r w:rsidR="00CB0DA1" w:rsidRPr="1CF2000A">
        <w:rPr>
          <w:rFonts w:asciiTheme="minorHAnsi" w:hAnsiTheme="minorHAnsi" w:cstheme="minorBidi"/>
        </w:rPr>
        <w:t>, whichever falls first.</w:t>
      </w:r>
    </w:p>
    <w:bookmarkEnd w:id="0"/>
    <w:p w14:paraId="68E15590" w14:textId="010F0EDE" w:rsidR="0068404B" w:rsidRDefault="00FA3D75">
      <w:r w:rsidRPr="004D718D">
        <w:rPr>
          <w:noProof/>
        </w:rPr>
        <w:drawing>
          <wp:anchor distT="0" distB="0" distL="114300" distR="114300" simplePos="0" relativeHeight="251660288" behindDoc="0" locked="0" layoutInCell="1" allowOverlap="1" wp14:anchorId="1349A9A9" wp14:editId="4CF7B5E5">
            <wp:simplePos x="0" y="0"/>
            <wp:positionH relativeFrom="column">
              <wp:posOffset>541020</wp:posOffset>
            </wp:positionH>
            <wp:positionV relativeFrom="paragraph">
              <wp:posOffset>56515</wp:posOffset>
            </wp:positionV>
            <wp:extent cx="1819275" cy="467995"/>
            <wp:effectExtent l="0" t="0" r="9525" b="8255"/>
            <wp:wrapNone/>
            <wp:docPr id="919603372" name="Picture 919603372" descr="C:\Users\David\AppData\Local\Microsoft\Windows\INetCache\Content.Word\DBR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Content.Word\DBR_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AB841" w14:textId="499555F2" w:rsidR="00CB0DA1" w:rsidRDefault="00CB0DA1">
      <w:r>
        <w:t>Signed:</w:t>
      </w:r>
      <w:r w:rsidR="00FA3D75">
        <w:t xml:space="preserve"> </w:t>
      </w:r>
    </w:p>
    <w:p w14:paraId="3F02715A" w14:textId="3964E5F0" w:rsidR="00CB0DA1" w:rsidRDefault="00CB0DA1">
      <w:r>
        <w:t>Date:</w:t>
      </w:r>
      <w:r w:rsidR="00FA3D75">
        <w:t xml:space="preserve"> May 15</w:t>
      </w:r>
      <w:r w:rsidR="00FA3D75" w:rsidRPr="00FA3D75">
        <w:rPr>
          <w:vertAlign w:val="superscript"/>
        </w:rPr>
        <w:t>th</w:t>
      </w:r>
      <w:proofErr w:type="gramStart"/>
      <w:r w:rsidR="00FA3D75">
        <w:t xml:space="preserve"> 2023</w:t>
      </w:r>
      <w:proofErr w:type="gramEnd"/>
    </w:p>
    <w:p w14:paraId="0DF9FECC" w14:textId="5BDEC9F7" w:rsidR="00CB0DA1" w:rsidRDefault="00CB0DA1">
      <w:r>
        <w:t xml:space="preserve">Position: </w:t>
      </w:r>
      <w:r w:rsidR="00FA3D75">
        <w:t>Professor of Environmental Change &amp; Centa PoC for Loughborough University</w:t>
      </w:r>
    </w:p>
    <w:sectPr w:rsidR="00CB0DA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1C29" w14:textId="77777777" w:rsidR="00370CDD" w:rsidRDefault="00370CDD" w:rsidP="00CB0DA1">
      <w:pPr>
        <w:spacing w:after="0" w:line="240" w:lineRule="auto"/>
      </w:pPr>
      <w:r>
        <w:separator/>
      </w:r>
    </w:p>
  </w:endnote>
  <w:endnote w:type="continuationSeparator" w:id="0">
    <w:p w14:paraId="6C74ACD3" w14:textId="77777777" w:rsidR="00370CDD" w:rsidRDefault="00370CDD" w:rsidP="00CB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4E93" w14:textId="77777777" w:rsidR="00370CDD" w:rsidRDefault="00370CDD" w:rsidP="00CB0DA1">
      <w:pPr>
        <w:spacing w:after="0" w:line="240" w:lineRule="auto"/>
      </w:pPr>
      <w:r>
        <w:separator/>
      </w:r>
    </w:p>
  </w:footnote>
  <w:footnote w:type="continuationSeparator" w:id="0">
    <w:p w14:paraId="428B5986" w14:textId="77777777" w:rsidR="00370CDD" w:rsidRDefault="00370CDD" w:rsidP="00CB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4338" w14:textId="2E2D68C7" w:rsidR="00CB0DA1" w:rsidRDefault="00CB0DA1" w:rsidP="00CB0D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C4AF34A" wp14:editId="3264230B">
          <wp:simplePos x="0" y="0"/>
          <wp:positionH relativeFrom="column">
            <wp:posOffset>4199157</wp:posOffset>
          </wp:positionH>
          <wp:positionV relativeFrom="paragraph">
            <wp:posOffset>-246086</wp:posOffset>
          </wp:positionV>
          <wp:extent cx="2279788" cy="719894"/>
          <wp:effectExtent l="0" t="0" r="6350" b="4445"/>
          <wp:wrapTight wrapText="bothSides">
            <wp:wrapPolygon edited="0">
              <wp:start x="0" y="0"/>
              <wp:lineTo x="0" y="21162"/>
              <wp:lineTo x="21480" y="21162"/>
              <wp:lineTo x="214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A Logo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788" cy="719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imes New Roman"/>
        <w:noProof/>
        <w:w w:val="95"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46A12993" wp14:editId="2FC4B84E">
          <wp:simplePos x="0" y="0"/>
          <wp:positionH relativeFrom="margin">
            <wp:posOffset>-549226</wp:posOffset>
          </wp:positionH>
          <wp:positionV relativeFrom="paragraph">
            <wp:posOffset>-246869</wp:posOffset>
          </wp:positionV>
          <wp:extent cx="2827850" cy="713390"/>
          <wp:effectExtent l="0" t="0" r="0" b="0"/>
          <wp:wrapTight wrapText="bothSides">
            <wp:wrapPolygon edited="0">
              <wp:start x="0" y="0"/>
              <wp:lineTo x="0" y="20773"/>
              <wp:lineTo x="21391" y="20773"/>
              <wp:lineTo x="213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850" cy="71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DB3C9" w14:textId="12E67544" w:rsidR="00CB0DA1" w:rsidRDefault="00CB0DA1">
    <w:pPr>
      <w:pStyle w:val="Header"/>
    </w:pPr>
  </w:p>
  <w:p w14:paraId="5D849F57" w14:textId="77777777" w:rsidR="00CB0DA1" w:rsidRDefault="00CB0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E87"/>
    <w:multiLevelType w:val="hybridMultilevel"/>
    <w:tmpl w:val="F19ED698"/>
    <w:lvl w:ilvl="0" w:tplc="3514AFE8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104C92E">
      <w:numFmt w:val="bullet"/>
      <w:lvlText w:val="•"/>
      <w:lvlJc w:val="left"/>
      <w:pPr>
        <w:ind w:left="1936" w:hanging="361"/>
      </w:pPr>
      <w:rPr>
        <w:rFonts w:hint="default"/>
      </w:rPr>
    </w:lvl>
    <w:lvl w:ilvl="2" w:tplc="7A06C246">
      <w:numFmt w:val="bullet"/>
      <w:lvlText w:val="•"/>
      <w:lvlJc w:val="left"/>
      <w:pPr>
        <w:ind w:left="2933" w:hanging="361"/>
      </w:pPr>
      <w:rPr>
        <w:rFonts w:hint="default"/>
      </w:rPr>
    </w:lvl>
    <w:lvl w:ilvl="3" w:tplc="72FEE9E0"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DF289DDA">
      <w:numFmt w:val="bullet"/>
      <w:lvlText w:val="•"/>
      <w:lvlJc w:val="left"/>
      <w:pPr>
        <w:ind w:left="4926" w:hanging="361"/>
      </w:pPr>
      <w:rPr>
        <w:rFonts w:hint="default"/>
      </w:rPr>
    </w:lvl>
    <w:lvl w:ilvl="5" w:tplc="44B2DC54">
      <w:numFmt w:val="bullet"/>
      <w:lvlText w:val="•"/>
      <w:lvlJc w:val="left"/>
      <w:pPr>
        <w:ind w:left="5923" w:hanging="361"/>
      </w:pPr>
      <w:rPr>
        <w:rFonts w:hint="default"/>
      </w:rPr>
    </w:lvl>
    <w:lvl w:ilvl="6" w:tplc="1CD2FE8C">
      <w:numFmt w:val="bullet"/>
      <w:lvlText w:val="•"/>
      <w:lvlJc w:val="left"/>
      <w:pPr>
        <w:ind w:left="6919" w:hanging="361"/>
      </w:pPr>
      <w:rPr>
        <w:rFonts w:hint="default"/>
      </w:rPr>
    </w:lvl>
    <w:lvl w:ilvl="7" w:tplc="F820A3E0">
      <w:numFmt w:val="bullet"/>
      <w:lvlText w:val="•"/>
      <w:lvlJc w:val="left"/>
      <w:pPr>
        <w:ind w:left="7916" w:hanging="361"/>
      </w:pPr>
      <w:rPr>
        <w:rFonts w:hint="default"/>
      </w:rPr>
    </w:lvl>
    <w:lvl w:ilvl="8" w:tplc="5E60198C">
      <w:numFmt w:val="bullet"/>
      <w:lvlText w:val="•"/>
      <w:lvlJc w:val="left"/>
      <w:pPr>
        <w:ind w:left="8913" w:hanging="361"/>
      </w:pPr>
      <w:rPr>
        <w:rFonts w:hint="default"/>
      </w:rPr>
    </w:lvl>
  </w:abstractNum>
  <w:abstractNum w:abstractNumId="1" w15:restartNumberingAfterBreak="0">
    <w:nsid w:val="02A22F3E"/>
    <w:multiLevelType w:val="hybridMultilevel"/>
    <w:tmpl w:val="495C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CA9"/>
    <w:multiLevelType w:val="hybridMultilevel"/>
    <w:tmpl w:val="44E0CEB0"/>
    <w:lvl w:ilvl="0" w:tplc="9ECC95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F2F13"/>
    <w:multiLevelType w:val="hybridMultilevel"/>
    <w:tmpl w:val="678CF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30829">
    <w:abstractNumId w:val="0"/>
  </w:num>
  <w:num w:numId="2" w16cid:durableId="187648479">
    <w:abstractNumId w:val="2"/>
  </w:num>
  <w:num w:numId="3" w16cid:durableId="555510630">
    <w:abstractNumId w:val="3"/>
  </w:num>
  <w:num w:numId="4" w16cid:durableId="104964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4B"/>
    <w:rsid w:val="00043415"/>
    <w:rsid w:val="00045F9E"/>
    <w:rsid w:val="000E3E70"/>
    <w:rsid w:val="00150CFF"/>
    <w:rsid w:val="00167F54"/>
    <w:rsid w:val="001A7A1D"/>
    <w:rsid w:val="001B61F5"/>
    <w:rsid w:val="001D4D14"/>
    <w:rsid w:val="001E3926"/>
    <w:rsid w:val="002061EB"/>
    <w:rsid w:val="002218B0"/>
    <w:rsid w:val="00233240"/>
    <w:rsid w:val="0023528A"/>
    <w:rsid w:val="0026693B"/>
    <w:rsid w:val="00276667"/>
    <w:rsid w:val="00296323"/>
    <w:rsid w:val="002A658C"/>
    <w:rsid w:val="002B29F9"/>
    <w:rsid w:val="003128A4"/>
    <w:rsid w:val="00370237"/>
    <w:rsid w:val="00370CDD"/>
    <w:rsid w:val="00422FDC"/>
    <w:rsid w:val="00425993"/>
    <w:rsid w:val="004A2093"/>
    <w:rsid w:val="004D6719"/>
    <w:rsid w:val="00503281"/>
    <w:rsid w:val="00515207"/>
    <w:rsid w:val="0054542F"/>
    <w:rsid w:val="0059112C"/>
    <w:rsid w:val="005A27F7"/>
    <w:rsid w:val="005D5EA4"/>
    <w:rsid w:val="006340C4"/>
    <w:rsid w:val="0064198F"/>
    <w:rsid w:val="00661E6C"/>
    <w:rsid w:val="0068404B"/>
    <w:rsid w:val="006F706B"/>
    <w:rsid w:val="00732D09"/>
    <w:rsid w:val="007434ED"/>
    <w:rsid w:val="00761CDC"/>
    <w:rsid w:val="007758CE"/>
    <w:rsid w:val="007769C5"/>
    <w:rsid w:val="007975C1"/>
    <w:rsid w:val="007F7025"/>
    <w:rsid w:val="00840EDC"/>
    <w:rsid w:val="00864A6B"/>
    <w:rsid w:val="0091657D"/>
    <w:rsid w:val="00934CAD"/>
    <w:rsid w:val="0098425E"/>
    <w:rsid w:val="009B04D2"/>
    <w:rsid w:val="009B43C3"/>
    <w:rsid w:val="009C3A5B"/>
    <w:rsid w:val="00A01AE4"/>
    <w:rsid w:val="00A0726F"/>
    <w:rsid w:val="00A34FEC"/>
    <w:rsid w:val="00A56C69"/>
    <w:rsid w:val="00A704E9"/>
    <w:rsid w:val="00AD0CE3"/>
    <w:rsid w:val="00B00F91"/>
    <w:rsid w:val="00B260C8"/>
    <w:rsid w:val="00B6583F"/>
    <w:rsid w:val="00B65E1F"/>
    <w:rsid w:val="00BC07C0"/>
    <w:rsid w:val="00C120E2"/>
    <w:rsid w:val="00C205E2"/>
    <w:rsid w:val="00C35417"/>
    <w:rsid w:val="00C4342A"/>
    <w:rsid w:val="00C609E7"/>
    <w:rsid w:val="00C664F7"/>
    <w:rsid w:val="00C92827"/>
    <w:rsid w:val="00CB0DA1"/>
    <w:rsid w:val="00CB6C09"/>
    <w:rsid w:val="00D33595"/>
    <w:rsid w:val="00D406CE"/>
    <w:rsid w:val="00D46BCA"/>
    <w:rsid w:val="00D553E1"/>
    <w:rsid w:val="00D55680"/>
    <w:rsid w:val="00D61542"/>
    <w:rsid w:val="00D77938"/>
    <w:rsid w:val="00E326D6"/>
    <w:rsid w:val="00E53C7D"/>
    <w:rsid w:val="00E55F50"/>
    <w:rsid w:val="00F007F5"/>
    <w:rsid w:val="00F1137E"/>
    <w:rsid w:val="00F47F09"/>
    <w:rsid w:val="00F56750"/>
    <w:rsid w:val="00F64AFD"/>
    <w:rsid w:val="00F85940"/>
    <w:rsid w:val="00FA3D75"/>
    <w:rsid w:val="00FB348B"/>
    <w:rsid w:val="00FF45FC"/>
    <w:rsid w:val="1CF2000A"/>
    <w:rsid w:val="3047B21C"/>
    <w:rsid w:val="4377B504"/>
    <w:rsid w:val="461FB187"/>
    <w:rsid w:val="58CF4291"/>
    <w:rsid w:val="5D54BBBF"/>
    <w:rsid w:val="72E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7B6C"/>
  <w15:chartTrackingRefBased/>
  <w15:docId w15:val="{2DFFD72A-C0B7-47E9-82C6-E43EC953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0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04B"/>
    <w:pPr>
      <w:widowControl w:val="0"/>
      <w:autoSpaceDE w:val="0"/>
      <w:autoSpaceDN w:val="0"/>
      <w:spacing w:before="1" w:after="0" w:line="240" w:lineRule="auto"/>
      <w:ind w:left="940" w:hanging="360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0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A1"/>
  </w:style>
  <w:style w:type="paragraph" w:styleId="Footer">
    <w:name w:val="footer"/>
    <w:basedOn w:val="Normal"/>
    <w:link w:val="FooterChar"/>
    <w:uiPriority w:val="99"/>
    <w:unhideWhenUsed/>
    <w:rsid w:val="00CB0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A1"/>
  </w:style>
  <w:style w:type="table" w:styleId="TableGrid">
    <w:name w:val="Table Grid"/>
    <w:basedOn w:val="TableNormal"/>
    <w:uiPriority w:val="39"/>
    <w:rsid w:val="00CB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D74E14F813B41860E6D66CD6B57CE" ma:contentTypeVersion="16" ma:contentTypeDescription="Create a new document." ma:contentTypeScope="" ma:versionID="98547b1f14312c15e0183f5ecfcfda07">
  <xsd:schema xmlns:xsd="http://www.w3.org/2001/XMLSchema" xmlns:xs="http://www.w3.org/2001/XMLSchema" xmlns:p="http://schemas.microsoft.com/office/2006/metadata/properties" xmlns:ns2="8fbef3ba-beef-420d-a00e-a4c95214ca0a" xmlns:ns3="7556b30f-e6bb-4d95-a532-ecb4e4e20f60" targetNamespace="http://schemas.microsoft.com/office/2006/metadata/properties" ma:root="true" ma:fieldsID="c4d38730b20f249238973b9b89f77830" ns2:_="" ns3:_="">
    <xsd:import namespace="8fbef3ba-beef-420d-a00e-a4c95214ca0a"/>
    <xsd:import namespace="7556b30f-e6bb-4d95-a532-ecb4e4e20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ef3ba-beef-420d-a00e-a4c9521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6b30f-e6bb-4d95-a532-ecb4e4e20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05ba86-2efd-4db6-a40c-c9bb4d977148}" ma:internalName="TaxCatchAll" ma:showField="CatchAllData" ma:web="7556b30f-e6bb-4d95-a532-ecb4e4e20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bef3ba-beef-420d-a00e-a4c95214ca0a">
      <Terms xmlns="http://schemas.microsoft.com/office/infopath/2007/PartnerControls"/>
    </lcf76f155ced4ddcb4097134ff3c332f>
    <TaxCatchAll xmlns="7556b30f-e6bb-4d95-a532-ecb4e4e20f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8F045-47E7-41DD-83CA-ADF313F40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ef3ba-beef-420d-a00e-a4c95214ca0a"/>
    <ds:schemaRef ds:uri="7556b30f-e6bb-4d95-a532-ecb4e4e20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AE3D4-7653-46D9-920A-05BDAECA7F3D}">
  <ds:schemaRefs>
    <ds:schemaRef ds:uri="http://schemas.microsoft.com/office/2006/metadata/properties"/>
    <ds:schemaRef ds:uri="http://schemas.microsoft.com/office/infopath/2007/PartnerControls"/>
    <ds:schemaRef ds:uri="8fbef3ba-beef-420d-a00e-a4c95214ca0a"/>
    <ds:schemaRef ds:uri="7556b30f-e6bb-4d95-a532-ecb4e4e20f60"/>
  </ds:schemaRefs>
</ds:datastoreItem>
</file>

<file path=customXml/itemProps3.xml><?xml version="1.0" encoding="utf-8"?>
<ds:datastoreItem xmlns:ds="http://schemas.openxmlformats.org/officeDocument/2006/customXml" ds:itemID="{6A7FFC80-C182-40B9-9E47-F57001BA7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949</Words>
  <Characters>5410</Characters>
  <Application>Microsoft Office Word</Application>
  <DocSecurity>4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Thomson (Life and Environmental Sciences)</dc:creator>
  <cp:keywords/>
  <dc:description/>
  <cp:lastModifiedBy>Dave Ryves</cp:lastModifiedBy>
  <cp:revision>2</cp:revision>
  <dcterms:created xsi:type="dcterms:W3CDTF">2023-05-15T09:15:00Z</dcterms:created>
  <dcterms:modified xsi:type="dcterms:W3CDTF">2023-05-15T09:15:00Z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0x010100D69D74E14F813B41860E6D66CD6B57CE</vt:lpwstr>
  </property>
  <property fmtid="{D5CDD505-2E9C-101B-9397-08002B2CF9AE}" pid="3" name="MediaServiceImageTags">
    <vt:lpwstr/>
  </property>
</Properties>
</file>